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D7368" w:rsidRPr="00CD7368" w:rsidRDefault="00CD7368" w:rsidP="00CD7368">
      <w:pPr>
        <w:pStyle w:val="Ttol"/>
        <w:contextualSpacing w:val="0"/>
        <w:jc w:val="both"/>
        <w:rPr>
          <w:lang w:val="en-GB"/>
        </w:rPr>
      </w:pPr>
      <w:r w:rsidRPr="00CD7368">
        <w:rPr>
          <w:lang w:val="en-GB"/>
        </w:rPr>
        <w:t xml:space="preserve">Conditions of the Call for Doctoral School Research Grant for the Mobility and </w:t>
      </w:r>
      <w:proofErr w:type="spellStart"/>
      <w:r w:rsidRPr="00CD7368">
        <w:rPr>
          <w:lang w:val="en-GB"/>
        </w:rPr>
        <w:t>Predoctoral</w:t>
      </w:r>
      <w:proofErr w:type="spellEnd"/>
      <w:r w:rsidRPr="00CD7368">
        <w:rPr>
          <w:lang w:val="en-GB"/>
        </w:rPr>
        <w:t xml:space="preserve"> Research Visit fo</w:t>
      </w:r>
      <w:r w:rsidR="00B10DE9">
        <w:rPr>
          <w:lang w:val="en-GB"/>
        </w:rPr>
        <w:t>r Doctoral Students. - Year 2018</w:t>
      </w:r>
    </w:p>
    <w:p w:rsidR="00CD7368" w:rsidRPr="00CD7368" w:rsidRDefault="00CD7368" w:rsidP="00CD7368">
      <w:pPr>
        <w:spacing w:line="360" w:lineRule="auto"/>
        <w:jc w:val="both"/>
        <w:rPr>
          <w:rFonts w:ascii="UOC Sans Bold" w:hAnsi="UOC Sans Bold"/>
          <w:b/>
          <w:bCs/>
          <w:color w:val="000000"/>
          <w:sz w:val="20"/>
          <w:szCs w:val="20"/>
          <w:lang w:val="en-GB"/>
        </w:rPr>
      </w:pPr>
    </w:p>
    <w:p w:rsidR="00CD7368" w:rsidRPr="00CD7368" w:rsidRDefault="00CD7368" w:rsidP="00CD7368">
      <w:pPr>
        <w:spacing w:line="360" w:lineRule="auto"/>
        <w:jc w:val="both"/>
        <w:rPr>
          <w:rFonts w:ascii="UOC Sans Bold" w:hAnsi="UOC Sans Bold"/>
          <w:b/>
          <w:bCs/>
          <w:color w:val="000000"/>
          <w:sz w:val="20"/>
          <w:szCs w:val="20"/>
          <w:lang w:val="en-GB"/>
        </w:rPr>
      </w:pPr>
    </w:p>
    <w:p w:rsidR="00CD7368" w:rsidRPr="00CD7368" w:rsidRDefault="00CD7368" w:rsidP="00CD7368">
      <w:pPr>
        <w:pStyle w:val="Ttol1"/>
        <w:spacing w:line="240" w:lineRule="auto"/>
        <w:jc w:val="both"/>
        <w:rPr>
          <w:bCs/>
          <w:lang w:val="en-GB"/>
        </w:rPr>
      </w:pPr>
      <w:r w:rsidRPr="00CD7368">
        <w:rPr>
          <w:bCs/>
          <w:lang w:val="en-GB"/>
        </w:rPr>
        <w:t xml:space="preserve">OBJECT </w:t>
      </w:r>
    </w:p>
    <w:p w:rsidR="00CD7368" w:rsidRDefault="00CD7368" w:rsidP="00CD7368">
      <w:pPr>
        <w:spacing w:line="240" w:lineRule="auto"/>
        <w:jc w:val="both"/>
        <w:rPr>
          <w:lang w:val="en-GB"/>
        </w:rPr>
      </w:pPr>
      <w:r w:rsidRPr="00CD7368">
        <w:rPr>
          <w:lang w:val="en-GB"/>
        </w:rPr>
        <w:t xml:space="preserve">The aim of this call is to promote the dissemination of the distance mode Doctoral Students activity in specialist forums and the </w:t>
      </w:r>
      <w:proofErr w:type="spellStart"/>
      <w:r w:rsidRPr="00CD7368">
        <w:rPr>
          <w:lang w:val="en-GB"/>
        </w:rPr>
        <w:t>predoctoral</w:t>
      </w:r>
      <w:proofErr w:type="spellEnd"/>
      <w:r w:rsidRPr="00CD7368">
        <w:rPr>
          <w:lang w:val="en-GB"/>
        </w:rPr>
        <w:t xml:space="preserve"> research visit at universities, research </w:t>
      </w:r>
      <w:proofErr w:type="spellStart"/>
      <w:r w:rsidRPr="00CD7368">
        <w:rPr>
          <w:lang w:val="en-GB"/>
        </w:rPr>
        <w:t>centers</w:t>
      </w:r>
      <w:proofErr w:type="spellEnd"/>
      <w:r w:rsidRPr="00CD7368">
        <w:rPr>
          <w:lang w:val="en-GB"/>
        </w:rPr>
        <w:t xml:space="preserve"> and other proper institutions. The aim is to facilitate attendance at congresses, conferences, </w:t>
      </w:r>
      <w:proofErr w:type="spellStart"/>
      <w:r w:rsidRPr="00CD7368">
        <w:rPr>
          <w:lang w:val="en-GB"/>
        </w:rPr>
        <w:t>predoctoral</w:t>
      </w:r>
      <w:proofErr w:type="spellEnd"/>
      <w:r w:rsidRPr="00CD7368">
        <w:rPr>
          <w:lang w:val="en-GB"/>
        </w:rPr>
        <w:t xml:space="preserve"> research visits and other types of scientific meetings where results of the research will be presented.</w:t>
      </w:r>
    </w:p>
    <w:p w:rsidR="000C794D" w:rsidRPr="00CD7368" w:rsidRDefault="000C794D" w:rsidP="00CD7368">
      <w:pPr>
        <w:spacing w:line="240" w:lineRule="auto"/>
        <w:jc w:val="both"/>
        <w:rPr>
          <w:lang w:val="en-GB"/>
        </w:rPr>
      </w:pPr>
    </w:p>
    <w:p w:rsidR="00CD7368" w:rsidRPr="00CD7368" w:rsidRDefault="00CD7368" w:rsidP="00CD7368">
      <w:pPr>
        <w:pStyle w:val="Ttol1"/>
        <w:spacing w:line="240" w:lineRule="auto"/>
        <w:jc w:val="both"/>
        <w:rPr>
          <w:bCs/>
          <w:lang w:val="en-GB"/>
        </w:rPr>
      </w:pPr>
      <w:r w:rsidRPr="00CD7368">
        <w:rPr>
          <w:bCs/>
          <w:lang w:val="en-GB"/>
        </w:rPr>
        <w:t>NATURE AND CONDITIONS OF THE GRANT</w:t>
      </w:r>
    </w:p>
    <w:p w:rsidR="00CD7368" w:rsidRPr="00CD7368" w:rsidRDefault="00CD7368" w:rsidP="00CD7368">
      <w:pPr>
        <w:spacing w:line="240" w:lineRule="auto"/>
        <w:jc w:val="both"/>
        <w:rPr>
          <w:lang w:val="en-GB"/>
        </w:rPr>
      </w:pPr>
      <w:r w:rsidRPr="00CD7368">
        <w:rPr>
          <w:lang w:val="en-GB"/>
        </w:rPr>
        <w:t xml:space="preserve">This mobility call comprises attendance at congresses, conferences, </w:t>
      </w:r>
      <w:proofErr w:type="spellStart"/>
      <w:r w:rsidRPr="00CD7368">
        <w:rPr>
          <w:lang w:val="en-GB"/>
        </w:rPr>
        <w:t>predoctoral</w:t>
      </w:r>
      <w:proofErr w:type="spellEnd"/>
      <w:r w:rsidRPr="00CD7368">
        <w:rPr>
          <w:lang w:val="en-GB"/>
        </w:rPr>
        <w:t xml:space="preserve"> research visits and other types of scientific meetings. In this case the intention is to cover some of the expenses incurred by attendance at congresses, conferences, </w:t>
      </w:r>
      <w:proofErr w:type="spellStart"/>
      <w:r w:rsidRPr="00CD7368">
        <w:rPr>
          <w:lang w:val="en-GB"/>
        </w:rPr>
        <w:t>predoctoral</w:t>
      </w:r>
      <w:proofErr w:type="spellEnd"/>
      <w:r w:rsidRPr="00CD7368">
        <w:rPr>
          <w:lang w:val="en-GB"/>
        </w:rPr>
        <w:t xml:space="preserve"> research visits or other types of scientific meetings, to improve the result of the thesis research. </w:t>
      </w:r>
    </w:p>
    <w:p w:rsidR="00CD7368" w:rsidRPr="00CD7368" w:rsidRDefault="00CD7368" w:rsidP="00CD7368">
      <w:pPr>
        <w:spacing w:line="240" w:lineRule="auto"/>
        <w:jc w:val="both"/>
        <w:rPr>
          <w:lang w:val="en-GB"/>
        </w:rPr>
      </w:pPr>
    </w:p>
    <w:p w:rsidR="00CD7368" w:rsidRPr="00CD7368" w:rsidRDefault="00CD7368" w:rsidP="00CD7368">
      <w:pPr>
        <w:spacing w:line="240" w:lineRule="auto"/>
        <w:jc w:val="both"/>
        <w:rPr>
          <w:lang w:val="en-GB"/>
        </w:rPr>
      </w:pPr>
      <w:r w:rsidRPr="00CD7368">
        <w:rPr>
          <w:lang w:val="en-GB"/>
        </w:rPr>
        <w:t xml:space="preserve">The beneficiaries of this type of grant are the distance mode Doctoral Students of the Doctoral School, whose submission of an application, communication, poster or direct participation in a congress, conference or other type of scientific meeting has been formally accepted. </w:t>
      </w:r>
    </w:p>
    <w:p w:rsidR="00CD7368" w:rsidRPr="00CD7368" w:rsidRDefault="00CD7368" w:rsidP="00CD7368">
      <w:pPr>
        <w:spacing w:line="240" w:lineRule="auto"/>
        <w:jc w:val="both"/>
        <w:rPr>
          <w:lang w:val="en-GB"/>
        </w:rPr>
      </w:pPr>
    </w:p>
    <w:p w:rsidR="00CD7368" w:rsidRPr="00CD7368" w:rsidRDefault="00CD7368" w:rsidP="00CD7368">
      <w:pPr>
        <w:spacing w:line="240" w:lineRule="auto"/>
        <w:jc w:val="both"/>
        <w:rPr>
          <w:lang w:val="en-GB"/>
        </w:rPr>
      </w:pPr>
      <w:r w:rsidRPr="00CD7368">
        <w:rPr>
          <w:lang w:val="en-GB"/>
        </w:rPr>
        <w:t>When the presented work has several authors, an only help will be adjudicated to that designated person by the rest of authors.</w:t>
      </w:r>
    </w:p>
    <w:p w:rsidR="00CD7368" w:rsidRPr="00CD7368" w:rsidRDefault="00CD7368" w:rsidP="00CD7368">
      <w:pPr>
        <w:spacing w:line="240" w:lineRule="auto"/>
        <w:jc w:val="both"/>
        <w:rPr>
          <w:lang w:val="en-GB"/>
        </w:rPr>
      </w:pPr>
    </w:p>
    <w:p w:rsidR="00CD7368" w:rsidRPr="00CD7368" w:rsidRDefault="00CD7368" w:rsidP="00CD7368">
      <w:pPr>
        <w:spacing w:line="240" w:lineRule="auto"/>
        <w:jc w:val="both"/>
        <w:rPr>
          <w:lang w:val="en-GB"/>
        </w:rPr>
      </w:pPr>
      <w:r w:rsidRPr="00CD7368">
        <w:rPr>
          <w:lang w:val="en-GB"/>
        </w:rPr>
        <w:t xml:space="preserve">The derivative expenses are excluded from the grant of assistance to courses or the assistance to a congress, day or other types of scientific meetings in which has not been accepted to the applicant of the grant the presentation of a communication, poster, etc. </w:t>
      </w:r>
      <w:r w:rsidRPr="00CD7368">
        <w:rPr>
          <w:lang w:val="en-GB"/>
        </w:rPr>
        <w:lastRenderedPageBreak/>
        <w:t>However, requests related with displacements in motive of the development of theirs theses will be permit including the realization of fieldwork.</w:t>
      </w:r>
    </w:p>
    <w:p w:rsidR="00CD7368" w:rsidRPr="00CD7368" w:rsidRDefault="00CD7368" w:rsidP="00CD7368">
      <w:pPr>
        <w:spacing w:line="240" w:lineRule="auto"/>
        <w:jc w:val="both"/>
        <w:rPr>
          <w:lang w:val="en-GB"/>
        </w:rPr>
      </w:pPr>
      <w:r w:rsidRPr="00CD7368">
        <w:rPr>
          <w:lang w:val="en-GB"/>
        </w:rPr>
        <w:t>The grant includes the following items and amounts always bearing in mind the documents UOC “</w:t>
      </w:r>
      <w:proofErr w:type="spellStart"/>
      <w:r w:rsidR="00B10DE9">
        <w:rPr>
          <w:lang w:val="en-GB"/>
        </w:rPr>
        <w:fldChar w:fldCharType="begin"/>
      </w:r>
      <w:r w:rsidR="00B10DE9">
        <w:rPr>
          <w:lang w:val="en-GB"/>
        </w:rPr>
        <w:instrText xml:space="preserve"> HYPERLINK "http://cv.uoc.edu/webapps/intrauoc2/documents/10530/247815/Pol%C3%ADtica+de+viatges+2017/e93d12cb-b4c7-4068-9e92-58101070e27e?redirect=http%3A%2F%2Fcv.uoc.edu%2Fwebapps%2Fintrauoc2%2Fen_GB%2Fgroup%2Fintrauoc%2Finterior%3Fp_p_id%3D175_INSTANCE_XytVkPhnH1H4%26p_p_lifecycle%3D0%26p_p_state%3Dnormal%26p_p_mode%3Dview%26p_p_col_id%3Dcolumn-3%26p_p_col_pos%3D2%26p_p_col_count%3D4" </w:instrText>
      </w:r>
      <w:r w:rsidR="00B10DE9">
        <w:rPr>
          <w:lang w:val="en-GB"/>
        </w:rPr>
      </w:r>
      <w:r w:rsidR="00B10DE9">
        <w:rPr>
          <w:lang w:val="en-GB"/>
        </w:rPr>
        <w:fldChar w:fldCharType="separate"/>
      </w:r>
      <w:r w:rsidRPr="00B10DE9">
        <w:rPr>
          <w:rStyle w:val="Enlla"/>
          <w:lang w:val="en-GB"/>
        </w:rPr>
        <w:t>Política</w:t>
      </w:r>
      <w:proofErr w:type="spellEnd"/>
      <w:r w:rsidRPr="00B10DE9">
        <w:rPr>
          <w:rStyle w:val="Enlla"/>
          <w:lang w:val="en-GB"/>
        </w:rPr>
        <w:t xml:space="preserve"> de </w:t>
      </w:r>
      <w:proofErr w:type="spellStart"/>
      <w:r w:rsidRPr="00B10DE9">
        <w:rPr>
          <w:rStyle w:val="Enlla"/>
          <w:lang w:val="en-GB"/>
        </w:rPr>
        <w:t>viatges</w:t>
      </w:r>
      <w:proofErr w:type="spellEnd"/>
      <w:r w:rsidRPr="00B10DE9">
        <w:rPr>
          <w:rStyle w:val="Enlla"/>
          <w:lang w:val="en-GB"/>
        </w:rPr>
        <w:t xml:space="preserve"> </w:t>
      </w:r>
      <w:bookmarkStart w:id="0" w:name="_GoBack"/>
      <w:r w:rsidRPr="00B10DE9">
        <w:rPr>
          <w:rStyle w:val="Enlla"/>
          <w:lang w:val="en-GB"/>
        </w:rPr>
        <w:t>201</w:t>
      </w:r>
      <w:r w:rsidR="00B10DE9" w:rsidRPr="00B10DE9">
        <w:rPr>
          <w:rStyle w:val="Enlla"/>
          <w:lang w:val="en-GB"/>
        </w:rPr>
        <w:t>7</w:t>
      </w:r>
      <w:bookmarkEnd w:id="0"/>
      <w:r w:rsidR="00B10DE9">
        <w:rPr>
          <w:lang w:val="en-GB"/>
        </w:rPr>
        <w:fldChar w:fldCharType="end"/>
      </w:r>
      <w:r w:rsidRPr="00CD7368">
        <w:rPr>
          <w:lang w:val="en-GB"/>
        </w:rPr>
        <w:t>”.</w:t>
      </w:r>
    </w:p>
    <w:p w:rsidR="00CD7368" w:rsidRPr="00CD7368" w:rsidRDefault="00CD7368" w:rsidP="00CD7368">
      <w:pPr>
        <w:spacing w:line="240" w:lineRule="auto"/>
        <w:ind w:firstLine="708"/>
        <w:jc w:val="both"/>
        <w:rPr>
          <w:bCs/>
          <w:color w:val="000000"/>
          <w:sz w:val="20"/>
          <w:szCs w:val="20"/>
          <w:lang w:val="en-GB"/>
        </w:rPr>
      </w:pPr>
    </w:p>
    <w:p w:rsidR="00CD7368" w:rsidRPr="00CD7368" w:rsidRDefault="00CD7368" w:rsidP="00CD7368">
      <w:pPr>
        <w:numPr>
          <w:ilvl w:val="2"/>
          <w:numId w:val="6"/>
        </w:numPr>
        <w:tabs>
          <w:tab w:val="clear" w:pos="900"/>
        </w:tabs>
        <w:spacing w:line="240" w:lineRule="auto"/>
        <w:ind w:left="720"/>
        <w:contextualSpacing/>
        <w:jc w:val="both"/>
        <w:rPr>
          <w:lang w:val="en-GB"/>
        </w:rPr>
      </w:pPr>
      <w:r w:rsidRPr="00CD7368">
        <w:rPr>
          <w:lang w:val="en-GB"/>
        </w:rPr>
        <w:t>Registration fee (if appropriate)</w:t>
      </w:r>
    </w:p>
    <w:p w:rsidR="00CD7368" w:rsidRPr="00CD7368" w:rsidRDefault="00CD7368" w:rsidP="00CD7368">
      <w:pPr>
        <w:numPr>
          <w:ilvl w:val="2"/>
          <w:numId w:val="6"/>
        </w:numPr>
        <w:tabs>
          <w:tab w:val="clear" w:pos="900"/>
        </w:tabs>
        <w:spacing w:line="240" w:lineRule="auto"/>
        <w:ind w:left="720"/>
        <w:contextualSpacing/>
        <w:jc w:val="both"/>
        <w:rPr>
          <w:lang w:val="en-GB"/>
        </w:rPr>
      </w:pPr>
      <w:r w:rsidRPr="00CD7368">
        <w:rPr>
          <w:lang w:val="en-GB"/>
        </w:rPr>
        <w:t>Travel by air or train</w:t>
      </w:r>
    </w:p>
    <w:p w:rsidR="00CD7368" w:rsidRPr="00CD7368" w:rsidRDefault="00CD7368" w:rsidP="00CD7368">
      <w:pPr>
        <w:numPr>
          <w:ilvl w:val="2"/>
          <w:numId w:val="6"/>
        </w:numPr>
        <w:tabs>
          <w:tab w:val="clear" w:pos="900"/>
        </w:tabs>
        <w:spacing w:line="240" w:lineRule="auto"/>
        <w:ind w:left="720"/>
        <w:contextualSpacing/>
        <w:jc w:val="both"/>
        <w:rPr>
          <w:lang w:val="en-GB"/>
        </w:rPr>
      </w:pPr>
      <w:r w:rsidRPr="00CD7368">
        <w:rPr>
          <w:lang w:val="en-GB"/>
        </w:rPr>
        <w:t>Accommodation</w:t>
      </w:r>
    </w:p>
    <w:p w:rsidR="00CD7368" w:rsidRPr="00CD7368" w:rsidRDefault="00CD7368" w:rsidP="00CD7368">
      <w:pPr>
        <w:numPr>
          <w:ilvl w:val="2"/>
          <w:numId w:val="6"/>
        </w:numPr>
        <w:tabs>
          <w:tab w:val="clear" w:pos="900"/>
        </w:tabs>
        <w:spacing w:line="240" w:lineRule="auto"/>
        <w:ind w:left="720"/>
        <w:contextualSpacing/>
        <w:jc w:val="both"/>
        <w:rPr>
          <w:lang w:val="en-GB"/>
        </w:rPr>
      </w:pPr>
      <w:r w:rsidRPr="00CD7368">
        <w:rPr>
          <w:lang w:val="en-GB"/>
        </w:rPr>
        <w:t xml:space="preserve"> Living expenses and minor transport expenses</w:t>
      </w:r>
    </w:p>
    <w:p w:rsidR="00CD7368" w:rsidRPr="00CD7368" w:rsidRDefault="00CD7368" w:rsidP="00CD7368">
      <w:pPr>
        <w:spacing w:after="120" w:line="240" w:lineRule="auto"/>
        <w:ind w:firstLine="708"/>
        <w:jc w:val="both"/>
        <w:rPr>
          <w:bCs/>
          <w:sz w:val="20"/>
          <w:szCs w:val="20"/>
          <w:lang w:val="en-GB"/>
        </w:rPr>
      </w:pPr>
    </w:p>
    <w:p w:rsidR="00CD7368" w:rsidRPr="00CD7368" w:rsidRDefault="00CD7368" w:rsidP="00CD7368">
      <w:pPr>
        <w:spacing w:line="240" w:lineRule="auto"/>
        <w:jc w:val="both"/>
        <w:rPr>
          <w:lang w:val="en-GB"/>
        </w:rPr>
      </w:pPr>
      <w:r w:rsidRPr="00CD7368">
        <w:rPr>
          <w:lang w:val="en-GB"/>
        </w:rPr>
        <w:t>Reserving journeys (by plane or train and the hotel) and the payment of the registration fee must be made in accordance with the purchasing procedure for the OSRT.</w:t>
      </w:r>
    </w:p>
    <w:p w:rsidR="00CD7368" w:rsidRPr="00CD7368" w:rsidRDefault="00CD7368" w:rsidP="00CD7368">
      <w:pPr>
        <w:spacing w:line="240" w:lineRule="auto"/>
        <w:jc w:val="both"/>
        <w:rPr>
          <w:lang w:val="en-GB"/>
        </w:rPr>
      </w:pPr>
    </w:p>
    <w:p w:rsidR="00CD7368" w:rsidRDefault="00CD7368" w:rsidP="00CD7368">
      <w:pPr>
        <w:spacing w:line="240" w:lineRule="auto"/>
        <w:jc w:val="both"/>
        <w:rPr>
          <w:lang w:val="en-GB"/>
        </w:rPr>
      </w:pPr>
      <w:r w:rsidRPr="00CD7368">
        <w:rPr>
          <w:lang w:val="en-GB"/>
        </w:rPr>
        <w:t>Expenses relating to the registration fee, travel and accommodation must be duly justified to the OSRT within the 15 days after the journey has taken place. For travel by plane or train, plane tickets and boarding passes or the corresponding ticket must be presented.</w:t>
      </w:r>
    </w:p>
    <w:p w:rsidR="000C794D" w:rsidRPr="00CD7368" w:rsidRDefault="000C794D" w:rsidP="00CD7368">
      <w:pPr>
        <w:spacing w:line="240" w:lineRule="auto"/>
        <w:jc w:val="both"/>
        <w:rPr>
          <w:lang w:val="en-GB"/>
        </w:rPr>
      </w:pPr>
    </w:p>
    <w:p w:rsidR="00CD7368" w:rsidRPr="00CD7368" w:rsidRDefault="00CD7368" w:rsidP="00CD7368">
      <w:pPr>
        <w:pStyle w:val="Ttol1"/>
        <w:spacing w:line="240" w:lineRule="auto"/>
        <w:jc w:val="both"/>
        <w:rPr>
          <w:bCs/>
          <w:lang w:val="en-GB"/>
        </w:rPr>
      </w:pPr>
      <w:r w:rsidRPr="00CD7368">
        <w:rPr>
          <w:bCs/>
          <w:lang w:val="en-GB"/>
        </w:rPr>
        <w:t>BUDGET</w:t>
      </w:r>
    </w:p>
    <w:p w:rsidR="00CD7368" w:rsidRDefault="00B10DE9" w:rsidP="000C794D">
      <w:pPr>
        <w:spacing w:after="120" w:line="240" w:lineRule="auto"/>
        <w:jc w:val="both"/>
        <w:rPr>
          <w:lang w:val="en-GB"/>
        </w:rPr>
      </w:pPr>
      <w:r w:rsidRPr="009F63D9">
        <w:rPr>
          <w:lang w:val="en-GB"/>
        </w:rPr>
        <w:t xml:space="preserve">The overall </w:t>
      </w:r>
      <w:r w:rsidRPr="00F56ED4">
        <w:rPr>
          <w:b/>
          <w:lang w:val="en-GB"/>
        </w:rPr>
        <w:t>budget</w:t>
      </w:r>
      <w:r w:rsidRPr="009F63D9">
        <w:rPr>
          <w:lang w:val="en-GB"/>
        </w:rPr>
        <w:t xml:space="preserve"> 201</w:t>
      </w:r>
      <w:r>
        <w:rPr>
          <w:lang w:val="en-GB"/>
        </w:rPr>
        <w:t>8</w:t>
      </w:r>
      <w:r w:rsidRPr="009F63D9">
        <w:rPr>
          <w:lang w:val="en-GB"/>
        </w:rPr>
        <w:t xml:space="preserve"> available for </w:t>
      </w:r>
      <w:r>
        <w:rPr>
          <w:lang w:val="en-GB"/>
        </w:rPr>
        <w:t>this call</w:t>
      </w:r>
      <w:r w:rsidRPr="002F71C2">
        <w:rPr>
          <w:lang w:val="en-GB"/>
        </w:rPr>
        <w:t xml:space="preserve"> is </w:t>
      </w:r>
      <w:r>
        <w:rPr>
          <w:b/>
          <w:lang w:val="en-GB"/>
        </w:rPr>
        <w:t>2</w:t>
      </w:r>
      <w:r>
        <w:rPr>
          <w:b/>
          <w:lang w:val="en-GB"/>
        </w:rPr>
        <w:t>.</w:t>
      </w:r>
      <w:r>
        <w:rPr>
          <w:b/>
          <w:lang w:val="en-GB"/>
        </w:rPr>
        <w:t>0</w:t>
      </w:r>
      <w:r>
        <w:rPr>
          <w:b/>
          <w:lang w:val="en-GB"/>
        </w:rPr>
        <w:t>00,00</w:t>
      </w:r>
      <w:r w:rsidRPr="00F56ED4">
        <w:rPr>
          <w:b/>
          <w:lang w:val="en-GB"/>
        </w:rPr>
        <w:t xml:space="preserve"> Euros</w:t>
      </w:r>
      <w:r w:rsidR="00CD7368" w:rsidRPr="000C794D">
        <w:rPr>
          <w:lang w:val="en-GB"/>
        </w:rPr>
        <w:t>.</w:t>
      </w:r>
    </w:p>
    <w:p w:rsidR="000C794D" w:rsidRPr="00CD7368" w:rsidRDefault="000C794D" w:rsidP="000C794D">
      <w:pPr>
        <w:spacing w:after="120" w:line="240" w:lineRule="auto"/>
        <w:jc w:val="both"/>
        <w:rPr>
          <w:lang w:val="en-GB"/>
        </w:rPr>
      </w:pPr>
    </w:p>
    <w:p w:rsidR="00CD7368" w:rsidRPr="00CD7368" w:rsidRDefault="00CD7368" w:rsidP="00CD7368">
      <w:pPr>
        <w:pStyle w:val="Ttol1"/>
        <w:spacing w:line="240" w:lineRule="auto"/>
        <w:rPr>
          <w:lang w:val="en-GB"/>
        </w:rPr>
      </w:pPr>
      <w:r w:rsidRPr="00CD7368">
        <w:rPr>
          <w:bCs/>
          <w:lang w:val="en-GB"/>
        </w:rPr>
        <w:t>REQUIREMENTS AND OBLIGATIONS</w:t>
      </w:r>
    </w:p>
    <w:p w:rsidR="00CD7368" w:rsidRPr="00CD7368" w:rsidRDefault="00CD7368" w:rsidP="00CD7368">
      <w:pPr>
        <w:spacing w:line="240" w:lineRule="auto"/>
        <w:jc w:val="both"/>
        <w:rPr>
          <w:lang w:val="en-GB"/>
        </w:rPr>
      </w:pPr>
      <w:r w:rsidRPr="00CD7368">
        <w:rPr>
          <w:lang w:val="en-GB"/>
        </w:rPr>
        <w:t xml:space="preserve">To receive a Doctoral School grant for the Mobility and </w:t>
      </w:r>
      <w:proofErr w:type="spellStart"/>
      <w:r w:rsidRPr="00CD7368">
        <w:rPr>
          <w:lang w:val="en-GB"/>
        </w:rPr>
        <w:t>Predoctoral</w:t>
      </w:r>
      <w:proofErr w:type="spellEnd"/>
      <w:r w:rsidRPr="00CD7368">
        <w:rPr>
          <w:lang w:val="en-GB"/>
        </w:rPr>
        <w:t xml:space="preserve"> Research Visit, the applicant must meet the following requirements and obligations:</w:t>
      </w:r>
    </w:p>
    <w:p w:rsidR="00CD7368" w:rsidRPr="00CD7368" w:rsidRDefault="00CD7368" w:rsidP="00CD7368">
      <w:pPr>
        <w:numPr>
          <w:ilvl w:val="2"/>
          <w:numId w:val="7"/>
        </w:numPr>
        <w:spacing w:line="240" w:lineRule="auto"/>
        <w:contextualSpacing/>
        <w:jc w:val="both"/>
        <w:rPr>
          <w:lang w:val="en-GB"/>
        </w:rPr>
      </w:pPr>
      <w:r w:rsidRPr="00CD7368">
        <w:rPr>
          <w:lang w:val="en-GB"/>
        </w:rPr>
        <w:t xml:space="preserve">Completing the grant application form provided by the Doctoral School by sending </w:t>
      </w:r>
      <w:r w:rsidRPr="000C794D">
        <w:rPr>
          <w:lang w:val="en-GB"/>
        </w:rPr>
        <w:t xml:space="preserve">to </w:t>
      </w:r>
      <w:hyperlink r:id="rId7" w:history="1">
        <w:r w:rsidR="000C794D" w:rsidRPr="000C794D">
          <w:rPr>
            <w:rStyle w:val="Enlla"/>
            <w:lang w:val="en-GB"/>
          </w:rPr>
          <w:t>preaward_osrt@uoc.edu</w:t>
        </w:r>
      </w:hyperlink>
      <w:r w:rsidRPr="00CD7368">
        <w:rPr>
          <w:lang w:val="en-GB"/>
        </w:rPr>
        <w:t>, and submit all the attached documentation stipulated on the form (both the documentation for submission when making the application and the documentation that should be sent after the organisation of the event). Is necessary to take into account that it is indispensable to present the official communication of the organizing organization the act through which the researcher is made know about his/her communication or presentation of results having been accepted.</w:t>
      </w:r>
    </w:p>
    <w:p w:rsidR="00CD7368" w:rsidRPr="00CD7368" w:rsidRDefault="00CD7368" w:rsidP="00CD7368">
      <w:pPr>
        <w:numPr>
          <w:ilvl w:val="2"/>
          <w:numId w:val="7"/>
        </w:numPr>
        <w:spacing w:line="240" w:lineRule="auto"/>
        <w:contextualSpacing/>
        <w:jc w:val="both"/>
        <w:rPr>
          <w:lang w:val="en-GB"/>
        </w:rPr>
      </w:pPr>
      <w:r w:rsidRPr="00CD7368">
        <w:rPr>
          <w:lang w:val="en-GB"/>
        </w:rPr>
        <w:t>Not receiving other grant for the same item awarded by public or private institutions.</w:t>
      </w:r>
    </w:p>
    <w:p w:rsidR="00CD7368" w:rsidRPr="00CD7368" w:rsidRDefault="00CD7368" w:rsidP="00CD7368">
      <w:pPr>
        <w:numPr>
          <w:ilvl w:val="2"/>
          <w:numId w:val="7"/>
        </w:numPr>
        <w:spacing w:line="240" w:lineRule="auto"/>
        <w:contextualSpacing/>
        <w:jc w:val="both"/>
        <w:rPr>
          <w:lang w:val="en-GB"/>
        </w:rPr>
      </w:pPr>
      <w:r w:rsidRPr="00CD7368">
        <w:rPr>
          <w:lang w:val="en-GB"/>
        </w:rPr>
        <w:t>It is essential that the associated expenses are incurred betwee</w:t>
      </w:r>
      <w:r w:rsidR="00B10DE9">
        <w:rPr>
          <w:lang w:val="en-GB"/>
        </w:rPr>
        <w:t>n 1 January and 31 December 2018</w:t>
      </w:r>
      <w:r w:rsidRPr="00CD7368">
        <w:rPr>
          <w:lang w:val="en-GB"/>
        </w:rPr>
        <w:t>.</w:t>
      </w:r>
    </w:p>
    <w:p w:rsidR="00CD7368" w:rsidRPr="00CD7368" w:rsidRDefault="00CD7368" w:rsidP="00CD7368">
      <w:pPr>
        <w:numPr>
          <w:ilvl w:val="2"/>
          <w:numId w:val="7"/>
        </w:numPr>
        <w:spacing w:line="240" w:lineRule="auto"/>
        <w:contextualSpacing/>
        <w:jc w:val="both"/>
        <w:rPr>
          <w:lang w:val="en-GB"/>
        </w:rPr>
      </w:pPr>
      <w:r w:rsidRPr="00CD7368">
        <w:rPr>
          <w:lang w:val="en-GB"/>
        </w:rPr>
        <w:t>Having the scientific production up to date in the Record of Activities document.</w:t>
      </w:r>
    </w:p>
    <w:p w:rsidR="00CD7368" w:rsidRPr="00CD7368" w:rsidRDefault="00CD7368" w:rsidP="00CD7368">
      <w:pPr>
        <w:spacing w:after="120" w:line="240" w:lineRule="auto"/>
        <w:jc w:val="both"/>
        <w:rPr>
          <w:szCs w:val="20"/>
          <w:lang w:val="en-GB"/>
        </w:rPr>
      </w:pPr>
      <w:r w:rsidRPr="00CD7368">
        <w:rPr>
          <w:color w:val="000000"/>
          <w:sz w:val="20"/>
          <w:szCs w:val="20"/>
          <w:lang w:val="en-GB"/>
        </w:rPr>
        <w:t xml:space="preserve"> </w:t>
      </w:r>
    </w:p>
    <w:p w:rsidR="00CD7368" w:rsidRPr="00CD7368" w:rsidRDefault="00CD7368" w:rsidP="00CD7368">
      <w:pPr>
        <w:pStyle w:val="Ttol1"/>
        <w:spacing w:line="240" w:lineRule="auto"/>
        <w:rPr>
          <w:bCs/>
          <w:lang w:val="en-GB"/>
        </w:rPr>
      </w:pPr>
      <w:r w:rsidRPr="00CD7368">
        <w:rPr>
          <w:bCs/>
          <w:lang w:val="en-GB"/>
        </w:rPr>
        <w:lastRenderedPageBreak/>
        <w:t>TIME LIMIT, FORMALISATION AND PROCESSING OF APPLICATIONS</w:t>
      </w:r>
    </w:p>
    <w:p w:rsidR="00CD7368" w:rsidRPr="00CD7368" w:rsidRDefault="00CD7368" w:rsidP="00CD7368">
      <w:pPr>
        <w:spacing w:line="240" w:lineRule="auto"/>
        <w:jc w:val="both"/>
        <w:rPr>
          <w:lang w:val="en-GB"/>
        </w:rPr>
      </w:pPr>
      <w:r w:rsidRPr="00CD7368">
        <w:rPr>
          <w:lang w:val="en-GB"/>
        </w:rPr>
        <w:t xml:space="preserve">The period for submitted will be open until the budget is exhausted and as maximum </w:t>
      </w:r>
      <w:proofErr w:type="gramStart"/>
      <w:r w:rsidRPr="00CD7368">
        <w:rPr>
          <w:lang w:val="en-GB"/>
        </w:rPr>
        <w:t xml:space="preserve">till </w:t>
      </w:r>
      <w:r w:rsidRPr="005C64B0">
        <w:rPr>
          <w:vertAlign w:val="superscript"/>
          <w:lang w:val="en-GB"/>
        </w:rPr>
        <w:t xml:space="preserve"> </w:t>
      </w:r>
      <w:r w:rsidRPr="00CD7368">
        <w:rPr>
          <w:lang w:val="en-GB"/>
        </w:rPr>
        <w:t>November</w:t>
      </w:r>
      <w:proofErr w:type="gramEnd"/>
      <w:r w:rsidRPr="00CD7368">
        <w:rPr>
          <w:lang w:val="en-GB"/>
        </w:rPr>
        <w:t xml:space="preserve"> </w:t>
      </w:r>
      <w:r w:rsidR="005C64B0" w:rsidRPr="00CD7368">
        <w:rPr>
          <w:lang w:val="en-GB"/>
        </w:rPr>
        <w:t>1</w:t>
      </w:r>
      <w:r w:rsidR="005C64B0" w:rsidRPr="005C64B0">
        <w:rPr>
          <w:vertAlign w:val="superscript"/>
          <w:lang w:val="en-GB"/>
        </w:rPr>
        <w:t>st</w:t>
      </w:r>
      <w:r w:rsidR="005C64B0">
        <w:rPr>
          <w:lang w:val="en-GB"/>
        </w:rPr>
        <w:t>,</w:t>
      </w:r>
      <w:r w:rsidR="005C64B0" w:rsidRPr="00CD7368">
        <w:rPr>
          <w:lang w:val="en-GB"/>
        </w:rPr>
        <w:t xml:space="preserve"> </w:t>
      </w:r>
      <w:r w:rsidRPr="00CD7368">
        <w:rPr>
          <w:lang w:val="en-GB"/>
        </w:rPr>
        <w:t>201</w:t>
      </w:r>
      <w:r w:rsidR="00B10DE9">
        <w:rPr>
          <w:lang w:val="en-GB"/>
        </w:rPr>
        <w:t>8</w:t>
      </w:r>
      <w:r w:rsidRPr="00CD7368">
        <w:rPr>
          <w:lang w:val="en-GB"/>
        </w:rPr>
        <w:t xml:space="preserve">. </w:t>
      </w:r>
    </w:p>
    <w:p w:rsidR="00CD7368" w:rsidRPr="00CD7368" w:rsidRDefault="00CD7368" w:rsidP="00CD7368">
      <w:pPr>
        <w:spacing w:line="240" w:lineRule="auto"/>
        <w:jc w:val="both"/>
        <w:rPr>
          <w:lang w:val="en-GB"/>
        </w:rPr>
      </w:pPr>
    </w:p>
    <w:p w:rsidR="00CD7368" w:rsidRPr="00CD7368" w:rsidRDefault="00CD7368" w:rsidP="00CD7368">
      <w:pPr>
        <w:spacing w:line="240" w:lineRule="auto"/>
        <w:jc w:val="both"/>
        <w:rPr>
          <w:lang w:val="en-GB"/>
        </w:rPr>
      </w:pPr>
      <w:r w:rsidRPr="00CD7368">
        <w:rPr>
          <w:lang w:val="en-GB"/>
        </w:rPr>
        <w:t xml:space="preserve">To receive a Doctoral School grant for the Mobility and </w:t>
      </w:r>
      <w:proofErr w:type="spellStart"/>
      <w:r w:rsidRPr="00CD7368">
        <w:rPr>
          <w:lang w:val="en-GB"/>
        </w:rPr>
        <w:t>Predoctoral</w:t>
      </w:r>
      <w:proofErr w:type="spellEnd"/>
      <w:r w:rsidRPr="00CD7368">
        <w:rPr>
          <w:lang w:val="en-GB"/>
        </w:rPr>
        <w:t xml:space="preserve"> Research Visit, the applicant must meet the following requirements and obligations:</w:t>
      </w:r>
    </w:p>
    <w:p w:rsidR="00CD7368" w:rsidRPr="00CD7368" w:rsidRDefault="00CD7368" w:rsidP="00CD7368">
      <w:pPr>
        <w:numPr>
          <w:ilvl w:val="0"/>
          <w:numId w:val="4"/>
        </w:numPr>
        <w:spacing w:line="240" w:lineRule="auto"/>
        <w:jc w:val="both"/>
        <w:rPr>
          <w:lang w:val="en-GB"/>
        </w:rPr>
      </w:pPr>
      <w:r w:rsidRPr="00CD7368">
        <w:rPr>
          <w:lang w:val="en-GB"/>
        </w:rPr>
        <w:t xml:space="preserve">Completing the grant application form provided by the Doctoral School by sending to </w:t>
      </w:r>
      <w:hyperlink r:id="rId8" w:history="1">
        <w:r w:rsidR="000C794D" w:rsidRPr="000C794D">
          <w:rPr>
            <w:rStyle w:val="Enlla"/>
            <w:lang w:val="en-GB"/>
          </w:rPr>
          <w:t>preaward_osrt@uoc.edu</w:t>
        </w:r>
      </w:hyperlink>
      <w:r w:rsidRPr="000C794D">
        <w:rPr>
          <w:lang w:val="en-GB"/>
        </w:rPr>
        <w:t>, and</w:t>
      </w:r>
      <w:r w:rsidRPr="00CD7368">
        <w:rPr>
          <w:lang w:val="en-GB"/>
        </w:rPr>
        <w:t xml:space="preserve"> submit all the attached documentation stipulated on the form (both the documentation for submission when making the application and the documentation that should be sent after the organisation of the event). Is necessary to take into account that it is indispensable to present the official communication of the organizing organization the act through which the researcher is made know about his/her communication or presentation of results having been accepted.</w:t>
      </w:r>
    </w:p>
    <w:p w:rsidR="00CD7368" w:rsidRPr="00CD7368" w:rsidRDefault="00CD7368" w:rsidP="00CD7368">
      <w:pPr>
        <w:spacing w:line="240" w:lineRule="auto"/>
        <w:jc w:val="both"/>
        <w:rPr>
          <w:bCs/>
          <w:color w:val="000000"/>
          <w:sz w:val="20"/>
          <w:szCs w:val="20"/>
          <w:lang w:val="en-GB"/>
        </w:rPr>
      </w:pPr>
    </w:p>
    <w:p w:rsidR="00CD7368" w:rsidRPr="00CD7368" w:rsidRDefault="00CD7368" w:rsidP="00CD7368">
      <w:pPr>
        <w:spacing w:line="240" w:lineRule="auto"/>
        <w:jc w:val="both"/>
        <w:rPr>
          <w:lang w:val="en-GB"/>
        </w:rPr>
      </w:pPr>
      <w:r w:rsidRPr="00CD7368">
        <w:rPr>
          <w:lang w:val="en-GB"/>
        </w:rPr>
        <w:t xml:space="preserve">For additional information or resolve queries do not hesitate to contact </w:t>
      </w:r>
      <w:hyperlink r:id="rId9" w:history="1">
        <w:r w:rsidR="000C794D" w:rsidRPr="005565E6">
          <w:rPr>
            <w:rStyle w:val="Enlla"/>
          </w:rPr>
          <w:t>preaward_osrt</w:t>
        </w:r>
        <w:r w:rsidR="000C794D" w:rsidRPr="005565E6">
          <w:rPr>
            <w:rStyle w:val="Enlla"/>
            <w:lang w:val="en-GB"/>
          </w:rPr>
          <w:t>@uoc.edu</w:t>
        </w:r>
      </w:hyperlink>
    </w:p>
    <w:p w:rsidR="00CD7368" w:rsidRPr="00CD7368" w:rsidRDefault="00CD7368" w:rsidP="00CD7368">
      <w:pPr>
        <w:spacing w:line="240" w:lineRule="auto"/>
        <w:jc w:val="both"/>
        <w:rPr>
          <w:lang w:val="en-GB"/>
        </w:rPr>
      </w:pPr>
      <w:r w:rsidRPr="00CD7368">
        <w:rPr>
          <w:bCs/>
          <w:color w:val="000000"/>
          <w:sz w:val="20"/>
          <w:szCs w:val="20"/>
          <w:lang w:val="en-GB"/>
        </w:rPr>
        <w:t xml:space="preserve"> </w:t>
      </w:r>
    </w:p>
    <w:p w:rsidR="00CD7368" w:rsidRPr="00CD7368" w:rsidRDefault="00CD7368" w:rsidP="00CD7368">
      <w:pPr>
        <w:pStyle w:val="Ttol1"/>
        <w:spacing w:after="120" w:line="240" w:lineRule="auto"/>
        <w:rPr>
          <w:bCs/>
          <w:lang w:val="en-GB"/>
        </w:rPr>
      </w:pPr>
      <w:r w:rsidRPr="00CD7368">
        <w:rPr>
          <w:bCs/>
          <w:lang w:val="en-GB"/>
        </w:rPr>
        <w:t>SELECTION</w:t>
      </w:r>
    </w:p>
    <w:p w:rsidR="00CD7368" w:rsidRPr="00CD7368" w:rsidRDefault="00CD7368" w:rsidP="00CD7368">
      <w:pPr>
        <w:spacing w:line="240" w:lineRule="auto"/>
        <w:jc w:val="both"/>
        <w:rPr>
          <w:lang w:val="en-GB"/>
        </w:rPr>
      </w:pPr>
      <w:r w:rsidRPr="00CD7368">
        <w:rPr>
          <w:lang w:val="en-GB"/>
        </w:rPr>
        <w:t>The Doctoral School will evaluate the applications for this call and will rule on the awarding of Grant covered by this call.</w:t>
      </w:r>
    </w:p>
    <w:p w:rsidR="00CD7368" w:rsidRPr="00CD7368" w:rsidRDefault="00CD7368" w:rsidP="00CD7368">
      <w:pPr>
        <w:spacing w:line="240" w:lineRule="auto"/>
        <w:jc w:val="both"/>
        <w:rPr>
          <w:lang w:val="en-GB"/>
        </w:rPr>
      </w:pPr>
    </w:p>
    <w:p w:rsidR="00CD7368" w:rsidRPr="00CD7368" w:rsidRDefault="00CD7368" w:rsidP="00CD7368">
      <w:pPr>
        <w:spacing w:line="240" w:lineRule="auto"/>
        <w:jc w:val="both"/>
        <w:rPr>
          <w:lang w:val="en-GB"/>
        </w:rPr>
      </w:pPr>
      <w:r w:rsidRPr="00CD7368">
        <w:rPr>
          <w:lang w:val="en-GB"/>
        </w:rPr>
        <w:t>The decision will be communicated within 15</w:t>
      </w:r>
      <w:r w:rsidRPr="005C64B0">
        <w:rPr>
          <w:vertAlign w:val="superscript"/>
          <w:lang w:val="en-GB"/>
        </w:rPr>
        <w:t>th</w:t>
      </w:r>
      <w:r w:rsidRPr="00CD7368">
        <w:rPr>
          <w:lang w:val="en-GB"/>
        </w:rPr>
        <w:t xml:space="preserve"> </w:t>
      </w:r>
      <w:r w:rsidR="00B10DE9" w:rsidRPr="00CD7368">
        <w:rPr>
          <w:lang w:val="en-GB"/>
        </w:rPr>
        <w:t>labour</w:t>
      </w:r>
      <w:r w:rsidRPr="00CD7368">
        <w:rPr>
          <w:lang w:val="en-GB"/>
        </w:rPr>
        <w:t xml:space="preserve"> days of submitting their application.</w:t>
      </w:r>
    </w:p>
    <w:p w:rsidR="00CD7368" w:rsidRPr="00CD7368" w:rsidRDefault="00CD7368" w:rsidP="00CD7368">
      <w:pPr>
        <w:spacing w:line="240" w:lineRule="auto"/>
        <w:jc w:val="both"/>
        <w:rPr>
          <w:lang w:val="en-GB"/>
        </w:rPr>
      </w:pPr>
    </w:p>
    <w:p w:rsidR="00CD7368" w:rsidRPr="00CD7368" w:rsidRDefault="00CD7368" w:rsidP="00CD7368">
      <w:pPr>
        <w:spacing w:line="240" w:lineRule="auto"/>
        <w:jc w:val="both"/>
        <w:rPr>
          <w:lang w:val="en-GB"/>
        </w:rPr>
      </w:pPr>
      <w:r w:rsidRPr="00CD7368">
        <w:rPr>
          <w:lang w:val="en-GB"/>
        </w:rPr>
        <w:t>The Doctoral School will take the following criteria into account when assessing the</w:t>
      </w:r>
      <w:r w:rsidRPr="00CD7368">
        <w:rPr>
          <w:bCs/>
          <w:color w:val="000000"/>
          <w:sz w:val="20"/>
          <w:szCs w:val="20"/>
          <w:lang w:val="en-GB"/>
        </w:rPr>
        <w:t xml:space="preserve"> </w:t>
      </w:r>
      <w:r w:rsidRPr="00CD7368">
        <w:rPr>
          <w:lang w:val="en-GB"/>
        </w:rPr>
        <w:t>applications:</w:t>
      </w:r>
    </w:p>
    <w:p w:rsidR="00CD7368" w:rsidRPr="00CD7368" w:rsidRDefault="00CD7368" w:rsidP="00CD7368">
      <w:pPr>
        <w:numPr>
          <w:ilvl w:val="0"/>
          <w:numId w:val="5"/>
        </w:numPr>
        <w:spacing w:line="240" w:lineRule="auto"/>
        <w:jc w:val="both"/>
        <w:rPr>
          <w:lang w:val="en-GB"/>
        </w:rPr>
      </w:pPr>
      <w:r w:rsidRPr="00CD7368">
        <w:rPr>
          <w:lang w:val="en-GB"/>
        </w:rPr>
        <w:t>International Congress will be prioritized.</w:t>
      </w:r>
    </w:p>
    <w:p w:rsidR="00CD7368" w:rsidRPr="00CD7368" w:rsidRDefault="00CD7368" w:rsidP="00CD7368">
      <w:pPr>
        <w:numPr>
          <w:ilvl w:val="0"/>
          <w:numId w:val="5"/>
        </w:numPr>
        <w:spacing w:line="240" w:lineRule="auto"/>
        <w:jc w:val="both"/>
        <w:rPr>
          <w:lang w:val="en-GB"/>
        </w:rPr>
      </w:pPr>
      <w:r w:rsidRPr="00CD7368">
        <w:rPr>
          <w:lang w:val="en-GB"/>
        </w:rPr>
        <w:t>The significance and scientific prestige of the act will be priced in relation in the area of specific research (this information will have to be proportionate and justified by the applicant).</w:t>
      </w:r>
    </w:p>
    <w:p w:rsidR="00CD7368" w:rsidRPr="00CD7368" w:rsidRDefault="00CD7368" w:rsidP="00CD7368">
      <w:pPr>
        <w:numPr>
          <w:ilvl w:val="0"/>
          <w:numId w:val="5"/>
        </w:numPr>
        <w:spacing w:line="240" w:lineRule="auto"/>
        <w:jc w:val="both"/>
        <w:rPr>
          <w:lang w:val="en-GB"/>
        </w:rPr>
      </w:pPr>
      <w:r w:rsidRPr="00CD7368">
        <w:rPr>
          <w:lang w:val="en-GB"/>
        </w:rPr>
        <w:t>The congresses with Scientific Committee and explicit systems of revision will be prioritized as well as the significance and prestige of the institution or organizing scientific society.</w:t>
      </w:r>
    </w:p>
    <w:p w:rsidR="00CD7368" w:rsidRPr="00CD7368" w:rsidRDefault="00CD7368" w:rsidP="00CD7368">
      <w:pPr>
        <w:numPr>
          <w:ilvl w:val="0"/>
          <w:numId w:val="5"/>
        </w:numPr>
        <w:spacing w:line="240" w:lineRule="auto"/>
        <w:jc w:val="both"/>
        <w:rPr>
          <w:lang w:val="en-GB"/>
        </w:rPr>
      </w:pPr>
      <w:r w:rsidRPr="00CD7368">
        <w:rPr>
          <w:lang w:val="en-GB"/>
        </w:rPr>
        <w:t xml:space="preserve">﻿The requests linked to the approved Research Plan. </w:t>
      </w:r>
    </w:p>
    <w:p w:rsidR="00CD7368" w:rsidRPr="00CD7368" w:rsidRDefault="00CD7368" w:rsidP="00CD7368">
      <w:pPr>
        <w:numPr>
          <w:ilvl w:val="0"/>
          <w:numId w:val="5"/>
        </w:numPr>
        <w:spacing w:line="240" w:lineRule="auto"/>
        <w:jc w:val="both"/>
        <w:rPr>
          <w:lang w:val="en-GB"/>
        </w:rPr>
      </w:pPr>
      <w:r w:rsidRPr="00CD7368">
        <w:rPr>
          <w:lang w:val="en-GB"/>
        </w:rPr>
        <w:t>In the case of a Doctoral Student who wants to apply for more than one application, the first one will be prioritized.</w:t>
      </w:r>
    </w:p>
    <w:p w:rsidR="00CD7368" w:rsidRPr="00CD7368" w:rsidRDefault="00CD7368" w:rsidP="00CD7368">
      <w:pPr>
        <w:numPr>
          <w:ilvl w:val="0"/>
          <w:numId w:val="5"/>
        </w:numPr>
        <w:spacing w:line="240" w:lineRule="auto"/>
        <w:jc w:val="both"/>
        <w:rPr>
          <w:lang w:val="en-GB"/>
        </w:rPr>
      </w:pPr>
      <w:r w:rsidRPr="00CD7368">
        <w:rPr>
          <w:lang w:val="en-GB"/>
        </w:rPr>
        <w:t xml:space="preserve">Accepted congress or conference application, communication, poster or direct participation. In case of </w:t>
      </w:r>
      <w:proofErr w:type="spellStart"/>
      <w:r w:rsidRPr="00CD7368">
        <w:rPr>
          <w:lang w:val="en-GB"/>
        </w:rPr>
        <w:t>predoctoral</w:t>
      </w:r>
      <w:proofErr w:type="spellEnd"/>
      <w:r w:rsidRPr="00CD7368">
        <w:rPr>
          <w:lang w:val="en-GB"/>
        </w:rPr>
        <w:t xml:space="preserve"> research visit a host institution invitation letter will be required.</w:t>
      </w:r>
    </w:p>
    <w:p w:rsidR="00CD7368" w:rsidRPr="00CD7368" w:rsidRDefault="00CD7368" w:rsidP="00CD7368">
      <w:pPr>
        <w:numPr>
          <w:ilvl w:val="0"/>
          <w:numId w:val="5"/>
        </w:numPr>
        <w:spacing w:line="240" w:lineRule="auto"/>
        <w:jc w:val="both"/>
        <w:rPr>
          <w:lang w:val="en-GB"/>
        </w:rPr>
      </w:pPr>
      <w:r w:rsidRPr="00CD7368">
        <w:rPr>
          <w:lang w:val="en-GB"/>
        </w:rPr>
        <w:t>Thesis Supervisor authorization letter.</w:t>
      </w:r>
    </w:p>
    <w:p w:rsidR="00CD7368" w:rsidRPr="00CD7368" w:rsidRDefault="00CD7368" w:rsidP="00CD7368">
      <w:pPr>
        <w:spacing w:line="240" w:lineRule="auto"/>
        <w:ind w:left="1068"/>
        <w:jc w:val="both"/>
        <w:rPr>
          <w:bCs/>
          <w:color w:val="000000"/>
          <w:sz w:val="20"/>
          <w:szCs w:val="20"/>
          <w:lang w:val="en-GB"/>
        </w:rPr>
      </w:pPr>
    </w:p>
    <w:p w:rsidR="00CD7368" w:rsidRPr="00CD7368" w:rsidRDefault="00CD7368" w:rsidP="00CD7368">
      <w:pPr>
        <w:pStyle w:val="Ttol1"/>
        <w:spacing w:after="120" w:line="240" w:lineRule="auto"/>
        <w:rPr>
          <w:bCs/>
          <w:lang w:val="en-GB"/>
        </w:rPr>
      </w:pPr>
      <w:r w:rsidRPr="00CD7368">
        <w:rPr>
          <w:bCs/>
          <w:lang w:val="en-GB"/>
        </w:rPr>
        <w:t>JUSTIFICATION</w:t>
      </w:r>
    </w:p>
    <w:p w:rsidR="00CD7368" w:rsidRPr="00CD7368" w:rsidRDefault="00CD7368" w:rsidP="00CD7368">
      <w:pPr>
        <w:spacing w:line="240" w:lineRule="auto"/>
        <w:jc w:val="both"/>
        <w:rPr>
          <w:lang w:val="en-GB"/>
        </w:rPr>
      </w:pPr>
      <w:r w:rsidRPr="00CD7368">
        <w:rPr>
          <w:lang w:val="en-GB"/>
        </w:rPr>
        <w:t>After attendance at the seminar/congress, the researcher responsible for the application must submit the following documentation within a maximum of three months:</w:t>
      </w:r>
    </w:p>
    <w:p w:rsidR="00CD7368" w:rsidRPr="00CD7368" w:rsidRDefault="00CD7368" w:rsidP="00CD7368">
      <w:pPr>
        <w:numPr>
          <w:ilvl w:val="0"/>
          <w:numId w:val="5"/>
        </w:numPr>
        <w:tabs>
          <w:tab w:val="num" w:pos="720"/>
        </w:tabs>
        <w:spacing w:line="240" w:lineRule="auto"/>
        <w:jc w:val="both"/>
        <w:rPr>
          <w:lang w:val="en-GB"/>
        </w:rPr>
      </w:pPr>
      <w:r w:rsidRPr="00CD7368">
        <w:rPr>
          <w:lang w:val="en-GB"/>
        </w:rPr>
        <w:t>Copy of the certificate issued by the organizing body proving that they have submitted the communication, paper, etc.</w:t>
      </w:r>
    </w:p>
    <w:p w:rsidR="00CD7368" w:rsidRPr="00CD7368" w:rsidRDefault="00CD7368" w:rsidP="00CD7368">
      <w:pPr>
        <w:numPr>
          <w:ilvl w:val="0"/>
          <w:numId w:val="5"/>
        </w:numPr>
        <w:tabs>
          <w:tab w:val="num" w:pos="720"/>
        </w:tabs>
        <w:spacing w:line="240" w:lineRule="auto"/>
        <w:jc w:val="both"/>
        <w:rPr>
          <w:lang w:val="en-GB"/>
        </w:rPr>
      </w:pPr>
      <w:r w:rsidRPr="00CD7368">
        <w:rPr>
          <w:lang w:val="en-GB"/>
        </w:rPr>
        <w:t>Report with a brief account of the opportunities detected (contacts, subjects, funding options, etc.) that may be linked to the UOC’s research interests.</w:t>
      </w:r>
    </w:p>
    <w:p w:rsidR="00CD7368" w:rsidRPr="00CD7368" w:rsidRDefault="00CD7368" w:rsidP="00CD7368">
      <w:pPr>
        <w:numPr>
          <w:ilvl w:val="0"/>
          <w:numId w:val="5"/>
        </w:numPr>
        <w:tabs>
          <w:tab w:val="num" w:pos="720"/>
        </w:tabs>
        <w:spacing w:line="240" w:lineRule="auto"/>
        <w:jc w:val="both"/>
        <w:rPr>
          <w:lang w:val="en-GB"/>
        </w:rPr>
      </w:pPr>
      <w:r w:rsidRPr="00CD7368">
        <w:rPr>
          <w:lang w:val="en-GB"/>
        </w:rPr>
        <w:t xml:space="preserve">Update of the information in the Record of Activities document. </w:t>
      </w:r>
    </w:p>
    <w:p w:rsidR="003719B9" w:rsidRPr="00CD7368" w:rsidRDefault="003719B9" w:rsidP="00CD7368"/>
    <w:sectPr w:rsidR="003719B9" w:rsidRPr="00CD7368">
      <w:headerReference w:type="default" r:id="rId10"/>
      <w:footerReference w:type="default" r:id="rId11"/>
      <w:pgSz w:w="11906" w:h="16838"/>
      <w:pgMar w:top="680" w:right="1133" w:bottom="1440" w:left="2265"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DA7" w:rsidRDefault="003E6DA7">
      <w:pPr>
        <w:spacing w:line="240" w:lineRule="auto"/>
      </w:pPr>
      <w:r>
        <w:separator/>
      </w:r>
    </w:p>
  </w:endnote>
  <w:endnote w:type="continuationSeparator" w:id="0">
    <w:p w:rsidR="003E6DA7" w:rsidRDefault="003E6D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UOC Sans Bold">
    <w:panose1 w:val="02000000000000000000"/>
    <w:charset w:val="00"/>
    <w:family w:val="auto"/>
    <w:pitch w:val="variable"/>
    <w:sig w:usb0="A00000FF" w:usb1="5001205B" w:usb2="0000001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8910" w:type="dxa"/>
      <w:tblInd w:w="30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600" w:firstRow="0" w:lastRow="0" w:firstColumn="0" w:lastColumn="0" w:noHBand="1" w:noVBand="1"/>
    </w:tblPr>
    <w:tblGrid>
      <w:gridCol w:w="5430"/>
      <w:gridCol w:w="1815"/>
      <w:gridCol w:w="1665"/>
    </w:tblGrid>
    <w:tr w:rsidR="00BE337C" w:rsidTr="00630BF6">
      <w:trPr>
        <w:trHeight w:val="380"/>
      </w:trPr>
      <w:tc>
        <w:tcPr>
          <w:tcW w:w="5430" w:type="dxa"/>
          <w:tcBorders>
            <w:top w:val="single" w:sz="18" w:space="0" w:color="38FF90"/>
            <w:left w:val="nil"/>
            <w:right w:val="single" w:sz="36" w:space="0" w:color="FFFFFF"/>
          </w:tcBorders>
          <w:tcMar>
            <w:top w:w="100" w:type="dxa"/>
            <w:left w:w="100" w:type="dxa"/>
            <w:bottom w:w="100" w:type="dxa"/>
            <w:right w:w="100" w:type="dxa"/>
          </w:tcMar>
        </w:tcPr>
        <w:p w:rsidR="00BE337C" w:rsidRDefault="00BE337C" w:rsidP="00BE337C">
          <w:pPr>
            <w:widowControl w:val="0"/>
            <w:spacing w:after="720" w:line="240" w:lineRule="auto"/>
            <w:ind w:left="-83"/>
          </w:pPr>
          <w:r>
            <w:rPr>
              <w:sz w:val="16"/>
              <w:szCs w:val="16"/>
            </w:rPr>
            <w:t>Universitat Oberta de Catalunya</w:t>
          </w:r>
        </w:p>
      </w:tc>
      <w:tc>
        <w:tcPr>
          <w:tcW w:w="1815" w:type="dxa"/>
          <w:tcBorders>
            <w:top w:val="single" w:sz="18" w:space="0" w:color="38FF90"/>
            <w:left w:val="single" w:sz="36" w:space="0" w:color="FFFFFF"/>
            <w:right w:val="single" w:sz="36" w:space="0" w:color="FFFFFF"/>
          </w:tcBorders>
          <w:tcMar>
            <w:top w:w="100" w:type="dxa"/>
            <w:left w:w="100" w:type="dxa"/>
            <w:bottom w:w="100" w:type="dxa"/>
            <w:right w:w="100" w:type="dxa"/>
          </w:tcMar>
        </w:tcPr>
        <w:p w:rsidR="00BE337C" w:rsidRDefault="00BE337C" w:rsidP="00B10DE9">
          <w:pPr>
            <w:widowControl w:val="0"/>
            <w:spacing w:after="720" w:line="240" w:lineRule="auto"/>
            <w:ind w:left="-53"/>
          </w:pPr>
        </w:p>
      </w:tc>
      <w:tc>
        <w:tcPr>
          <w:tcW w:w="1665" w:type="dxa"/>
          <w:tcBorders>
            <w:top w:val="single" w:sz="18" w:space="0" w:color="38FF90"/>
            <w:left w:val="single" w:sz="36" w:space="0" w:color="FFFFFF"/>
            <w:right w:val="nil"/>
          </w:tcBorders>
          <w:tcMar>
            <w:top w:w="100" w:type="dxa"/>
            <w:left w:w="100" w:type="dxa"/>
            <w:bottom w:w="100" w:type="dxa"/>
            <w:right w:w="100" w:type="dxa"/>
          </w:tcMar>
        </w:tcPr>
        <w:p w:rsidR="00BE337C" w:rsidRDefault="00BE337C" w:rsidP="00BE337C">
          <w:pPr>
            <w:widowControl w:val="0"/>
            <w:spacing w:after="720" w:line="240" w:lineRule="auto"/>
            <w:ind w:left="15" w:right="-111"/>
          </w:pPr>
          <w:r>
            <w:rPr>
              <w:sz w:val="16"/>
              <w:szCs w:val="16"/>
            </w:rPr>
            <w:t xml:space="preserve">Pàg. </w:t>
          </w:r>
          <w:r>
            <w:fldChar w:fldCharType="begin"/>
          </w:r>
          <w:r>
            <w:instrText>PAGE</w:instrText>
          </w:r>
          <w:r>
            <w:fldChar w:fldCharType="separate"/>
          </w:r>
          <w:r w:rsidR="00B10DE9">
            <w:rPr>
              <w:noProof/>
            </w:rPr>
            <w:t>2</w:t>
          </w:r>
          <w:r>
            <w:fldChar w:fldCharType="end"/>
          </w:r>
        </w:p>
      </w:tc>
    </w:tr>
  </w:tbl>
  <w:p w:rsidR="00BE337C" w:rsidRDefault="00BE337C">
    <w:pPr>
      <w:spacing w:line="240" w:lineRule="auto"/>
      <w:ind w:left="-83"/>
      <w:jc w:val="center"/>
    </w:pPr>
  </w:p>
  <w:p w:rsidR="003719B9" w:rsidRDefault="003719B9" w:rsidP="00BE33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DA7" w:rsidRDefault="003E6DA7">
      <w:pPr>
        <w:spacing w:line="240" w:lineRule="auto"/>
      </w:pPr>
      <w:r>
        <w:separator/>
      </w:r>
    </w:p>
  </w:footnote>
  <w:footnote w:type="continuationSeparator" w:id="0">
    <w:p w:rsidR="003E6DA7" w:rsidRDefault="003E6D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9B9" w:rsidRDefault="004947AA">
    <w:pPr>
      <w:spacing w:line="240" w:lineRule="auto"/>
      <w:jc w:val="center"/>
    </w:pPr>
    <w:r>
      <w:rPr>
        <w:noProof/>
      </w:rPr>
      <w:drawing>
        <wp:anchor distT="0" distB="0" distL="0" distR="0" simplePos="0" relativeHeight="251661312" behindDoc="0" locked="0" layoutInCell="0" hidden="0" allowOverlap="1" wp14:anchorId="2122D55D" wp14:editId="506005AF">
          <wp:simplePos x="0" y="0"/>
          <wp:positionH relativeFrom="page">
            <wp:align>center</wp:align>
          </wp:positionH>
          <wp:positionV relativeFrom="paragraph">
            <wp:posOffset>238125</wp:posOffset>
          </wp:positionV>
          <wp:extent cx="6562725" cy="1381125"/>
          <wp:effectExtent l="0" t="0" r="9525" b="0"/>
          <wp:wrapTopAndBottom distT="0" distB="0"/>
          <wp:docPr id="2" name="image03.jpg" descr="R&amp;I_UOC_2016-4.jpg"/>
          <wp:cNvGraphicFramePr/>
          <a:graphic xmlns:a="http://schemas.openxmlformats.org/drawingml/2006/main">
            <a:graphicData uri="http://schemas.openxmlformats.org/drawingml/2006/picture">
              <pic:pic xmlns:pic="http://schemas.openxmlformats.org/drawingml/2006/picture">
                <pic:nvPicPr>
                  <pic:cNvPr id="0" name="image03.jpg" descr="R&amp;I_UOC_2016-4.jpg"/>
                  <pic:cNvPicPr preferRelativeResize="0"/>
                </pic:nvPicPr>
                <pic:blipFill>
                  <a:blip r:embed="rId1"/>
                  <a:srcRect l="-1716" t="-22595" r="19693" b="-16825"/>
                  <a:stretch>
                    <a:fillRect/>
                  </a:stretch>
                </pic:blipFill>
                <pic:spPr>
                  <a:xfrm>
                    <a:off x="0" y="0"/>
                    <a:ext cx="6562725" cy="1381125"/>
                  </a:xfrm>
                  <a:prstGeom prst="rect">
                    <a:avLst/>
                  </a:prstGeom>
                  <a:ln/>
                </pic:spPr>
              </pic:pic>
            </a:graphicData>
          </a:graphic>
        </wp:anchor>
      </w:drawing>
    </w:r>
    <w:r w:rsidR="00081D2E">
      <w:rPr>
        <w:noProof/>
      </w:rPr>
      <mc:AlternateContent>
        <mc:Choice Requires="wps">
          <w:drawing>
            <wp:anchor distT="0" distB="0" distL="0" distR="0" simplePos="0" relativeHeight="251659264" behindDoc="1" locked="0" layoutInCell="0" hidden="0" allowOverlap="1">
              <wp:simplePos x="0" y="0"/>
              <wp:positionH relativeFrom="margin">
                <wp:posOffset>-1276349</wp:posOffset>
              </wp:positionH>
              <wp:positionV relativeFrom="paragraph">
                <wp:posOffset>-57149</wp:posOffset>
              </wp:positionV>
              <wp:extent cx="7696200" cy="214313"/>
              <wp:effectExtent l="0" t="0" r="0" b="0"/>
              <wp:wrapTopAndBottom distT="0" distB="0"/>
              <wp:docPr id="4" name="Rectangle 4"/>
              <wp:cNvGraphicFramePr/>
              <a:graphic xmlns:a="http://schemas.openxmlformats.org/drawingml/2006/main">
                <a:graphicData uri="http://schemas.microsoft.com/office/word/2010/wordprocessingShape">
                  <wps:wsp>
                    <wps:cNvSpPr/>
                    <wps:spPr>
                      <a:xfrm>
                        <a:off x="0" y="92650"/>
                        <a:ext cx="9020100" cy="3152700"/>
                      </a:xfrm>
                      <a:prstGeom prst="rect">
                        <a:avLst/>
                      </a:prstGeom>
                      <a:noFill/>
                      <a:ln>
                        <a:noFill/>
                      </a:ln>
                    </wps:spPr>
                    <wps:txbx>
                      <w:txbxContent>
                        <w:p w:rsidR="003719B9" w:rsidRDefault="003719B9">
                          <w:pPr>
                            <w:spacing w:line="240" w:lineRule="auto"/>
                            <w:textDirection w:val="btLr"/>
                          </w:pPr>
                        </w:p>
                      </w:txbxContent>
                    </wps:txbx>
                    <wps:bodyPr lIns="91425" tIns="91425" rIns="91425" bIns="91425" anchor="ctr" anchorCtr="0"/>
                  </wps:wsp>
                </a:graphicData>
              </a:graphic>
            </wp:anchor>
          </w:drawing>
        </mc:Choice>
        <mc:Fallback>
          <w:pict>
            <v:rect id="Rectangle 4" o:spid="_x0000_s1026" style="position:absolute;left:0;text-align:left;margin-left:-100.5pt;margin-top:-4.5pt;width:606pt;height:16.9pt;z-index:-251657216;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" o:allowincell="f" filled="f" stroked="f">
              <v:textbox inset="2.53958mm,2.53958mm,2.53958mm,2.53958mm">
                <w:txbxContent>
                  <w:p w:rsidR="003719B9" w:rsidRDefault="003719B9">
                    <w:pPr>
                      <w:spacing w:line="240" w:lineRule="auto"/>
                      <w:textDirection w:val="btLr"/>
                    </w:pPr>
                  </w:p>
                </w:txbxContent>
              </v:textbox>
              <w10:wrap type="topAndBottom"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33B78"/>
    <w:multiLevelType w:val="hybridMultilevel"/>
    <w:tmpl w:val="73E80B06"/>
    <w:lvl w:ilvl="0" w:tplc="0C0A0005">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4B722673"/>
    <w:multiLevelType w:val="multilevel"/>
    <w:tmpl w:val="71F67E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51085B58"/>
    <w:multiLevelType w:val="multilevel"/>
    <w:tmpl w:val="150E09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6AA166C6"/>
    <w:multiLevelType w:val="multilevel"/>
    <w:tmpl w:val="F440BB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BDE60D9"/>
    <w:multiLevelType w:val="hybridMultilevel"/>
    <w:tmpl w:val="691244C2"/>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A63847"/>
    <w:multiLevelType w:val="hybridMultilevel"/>
    <w:tmpl w:val="02FE2C26"/>
    <w:lvl w:ilvl="0" w:tplc="0C0A000F">
      <w:start w:val="1"/>
      <w:numFmt w:val="decimal"/>
      <w:lvlText w:val="%1."/>
      <w:lvlJc w:val="left"/>
      <w:pPr>
        <w:tabs>
          <w:tab w:val="num" w:pos="720"/>
        </w:tabs>
        <w:ind w:left="720" w:hanging="360"/>
      </w:pPr>
      <w:rPr>
        <w:rFonts w:hint="default"/>
      </w:rPr>
    </w:lvl>
    <w:lvl w:ilvl="1" w:tplc="14F681D8">
      <w:start w:val="1"/>
      <w:numFmt w:val="decimal"/>
      <w:lvlText w:val="%2."/>
      <w:lvlJc w:val="left"/>
      <w:pPr>
        <w:tabs>
          <w:tab w:val="num" w:pos="1440"/>
        </w:tabs>
        <w:ind w:left="1440" w:hanging="360"/>
      </w:pPr>
      <w:rPr>
        <w:rFonts w:ascii="Times New Roman" w:eastAsia="Times New Roman" w:hAnsi="Times New Roman" w:cs="Times New Roman"/>
      </w:rPr>
    </w:lvl>
    <w:lvl w:ilvl="2" w:tplc="09F6A590">
      <w:start w:val="1"/>
      <w:numFmt w:val="lowerLetter"/>
      <w:lvlText w:val="%3)"/>
      <w:lvlJc w:val="left"/>
      <w:pPr>
        <w:tabs>
          <w:tab w:val="num" w:pos="900"/>
        </w:tabs>
        <w:ind w:left="900" w:hanging="360"/>
      </w:pPr>
      <w:rPr>
        <w:rFonts w:hint="default"/>
        <w:b/>
        <w:bCs w:val="0"/>
      </w:rPr>
    </w:lvl>
    <w:lvl w:ilvl="3" w:tplc="6352B4D4">
      <w:start w:val="1"/>
      <w:numFmt w:val="bullet"/>
      <w:lvlText w:val=""/>
      <w:lvlJc w:val="left"/>
      <w:pPr>
        <w:tabs>
          <w:tab w:val="num" w:pos="2880"/>
        </w:tabs>
        <w:ind w:left="2880" w:hanging="360"/>
      </w:pPr>
      <w:rPr>
        <w:rFonts w:ascii="Wingdings" w:hAnsi="Wingdings" w:hint="default"/>
        <w:color w:val="C0C0C0"/>
        <w:sz w:val="20"/>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C0512EB"/>
    <w:multiLevelType w:val="hybridMultilevel"/>
    <w:tmpl w:val="F85A483E"/>
    <w:lvl w:ilvl="0" w:tplc="0C0A000F">
      <w:start w:val="1"/>
      <w:numFmt w:val="decimal"/>
      <w:lvlText w:val="%1."/>
      <w:lvlJc w:val="left"/>
      <w:pPr>
        <w:tabs>
          <w:tab w:val="num" w:pos="720"/>
        </w:tabs>
        <w:ind w:left="720" w:hanging="360"/>
      </w:pPr>
      <w:rPr>
        <w:rFonts w:hint="default"/>
      </w:rPr>
    </w:lvl>
    <w:lvl w:ilvl="1" w:tplc="14F681D8">
      <w:start w:val="1"/>
      <w:numFmt w:val="decimal"/>
      <w:lvlText w:val="%2."/>
      <w:lvlJc w:val="left"/>
      <w:pPr>
        <w:tabs>
          <w:tab w:val="num" w:pos="1440"/>
        </w:tabs>
        <w:ind w:left="1440" w:hanging="360"/>
      </w:pPr>
      <w:rPr>
        <w:rFonts w:ascii="Times New Roman" w:eastAsia="Times New Roman" w:hAnsi="Times New Roman" w:cs="Times New Roman"/>
      </w:rPr>
    </w:lvl>
    <w:lvl w:ilvl="2" w:tplc="04030001">
      <w:start w:val="1"/>
      <w:numFmt w:val="bullet"/>
      <w:lvlText w:val=""/>
      <w:lvlJc w:val="left"/>
      <w:pPr>
        <w:tabs>
          <w:tab w:val="num" w:pos="900"/>
        </w:tabs>
        <w:ind w:left="900" w:hanging="360"/>
      </w:pPr>
      <w:rPr>
        <w:rFonts w:ascii="Symbol" w:hAnsi="Symbol" w:hint="default"/>
        <w:b/>
        <w:bCs w:val="0"/>
      </w:rPr>
    </w:lvl>
    <w:lvl w:ilvl="3" w:tplc="6352B4D4">
      <w:start w:val="1"/>
      <w:numFmt w:val="bullet"/>
      <w:lvlText w:val=""/>
      <w:lvlJc w:val="left"/>
      <w:pPr>
        <w:tabs>
          <w:tab w:val="num" w:pos="2880"/>
        </w:tabs>
        <w:ind w:left="2880" w:hanging="360"/>
      </w:pPr>
      <w:rPr>
        <w:rFonts w:ascii="Wingdings" w:hAnsi="Wingdings" w:hint="default"/>
        <w:color w:val="C0C0C0"/>
        <w:sz w:val="20"/>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9B9"/>
    <w:rsid w:val="00081D2E"/>
    <w:rsid w:val="000C794D"/>
    <w:rsid w:val="003719B9"/>
    <w:rsid w:val="003E6DA7"/>
    <w:rsid w:val="004947AA"/>
    <w:rsid w:val="00521B2D"/>
    <w:rsid w:val="005C64B0"/>
    <w:rsid w:val="00B10DE9"/>
    <w:rsid w:val="00BE337C"/>
    <w:rsid w:val="00CD736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94BAFC5-1EAA-4425-A661-5A20027D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78"/>
        <w:sz w:val="22"/>
        <w:szCs w:val="22"/>
        <w:lang w:val="ca-ES" w:eastAsia="ca-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ol1">
    <w:name w:val="heading 1"/>
    <w:basedOn w:val="Normal"/>
    <w:next w:val="Normal"/>
    <w:pPr>
      <w:keepNext/>
      <w:keepLines/>
      <w:spacing w:before="280" w:after="80"/>
      <w:contextualSpacing/>
      <w:outlineLvl w:val="0"/>
    </w:pPr>
    <w:rPr>
      <w:b/>
      <w:sz w:val="36"/>
      <w:szCs w:val="36"/>
    </w:rPr>
  </w:style>
  <w:style w:type="paragraph" w:styleId="Ttol2">
    <w:name w:val="heading 2"/>
    <w:basedOn w:val="Normal"/>
    <w:next w:val="Normal"/>
    <w:pPr>
      <w:spacing w:before="520"/>
      <w:contextualSpacing/>
      <w:outlineLvl w:val="1"/>
    </w:pPr>
    <w:rPr>
      <w:sz w:val="36"/>
      <w:szCs w:val="36"/>
    </w:rPr>
  </w:style>
  <w:style w:type="paragraph" w:styleId="Ttol3">
    <w:name w:val="heading 3"/>
    <w:basedOn w:val="Normal"/>
    <w:next w:val="Normal"/>
    <w:pPr>
      <w:contextualSpacing/>
      <w:outlineLvl w:val="2"/>
    </w:pPr>
    <w:rPr>
      <w:sz w:val="30"/>
      <w:szCs w:val="30"/>
    </w:rPr>
  </w:style>
  <w:style w:type="paragraph" w:styleId="Ttol4">
    <w:name w:val="heading 4"/>
    <w:basedOn w:val="Normal"/>
    <w:next w:val="Normal"/>
    <w:pPr>
      <w:ind w:right="1680"/>
      <w:contextualSpacing/>
      <w:outlineLvl w:val="3"/>
    </w:pPr>
    <w:rPr>
      <w:rFonts w:ascii="Georgia" w:eastAsia="Georgia" w:hAnsi="Georgia" w:cs="Georgia"/>
      <w:i/>
      <w:color w:val="626166"/>
      <w:sz w:val="28"/>
      <w:szCs w:val="28"/>
    </w:rPr>
  </w:style>
  <w:style w:type="paragraph" w:styleId="Ttol5">
    <w:name w:val="heading 5"/>
    <w:basedOn w:val="Normal"/>
    <w:next w:val="Normal"/>
    <w:pPr>
      <w:spacing w:before="320" w:after="320"/>
      <w:ind w:right="1680"/>
      <w:contextualSpacing/>
      <w:outlineLvl w:val="4"/>
    </w:pPr>
    <w:rPr>
      <w:rFonts w:ascii="Georgia" w:eastAsia="Georgia" w:hAnsi="Georgia" w:cs="Georgia"/>
      <w:i/>
      <w:color w:val="626166"/>
      <w:sz w:val="28"/>
      <w:szCs w:val="28"/>
    </w:rPr>
  </w:style>
  <w:style w:type="paragraph" w:styleId="Ttol6">
    <w:name w:val="heading 6"/>
    <w:basedOn w:val="Normal"/>
    <w:next w:val="Normal"/>
    <w:pPr>
      <w:contextualSpacing/>
      <w:jc w:val="both"/>
      <w:outlineLvl w:val="5"/>
    </w:pPr>
    <w:rPr>
      <w:color w:val="626166"/>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link w:val="TtolCar"/>
    <w:pPr>
      <w:spacing w:line="240" w:lineRule="auto"/>
      <w:contextualSpacing/>
    </w:pPr>
    <w:rPr>
      <w:b/>
      <w:sz w:val="52"/>
      <w:szCs w:val="52"/>
    </w:rPr>
  </w:style>
  <w:style w:type="paragraph" w:styleId="Subttol">
    <w:name w:val="Subtitle"/>
    <w:basedOn w:val="Normal"/>
    <w:next w:val="Normal"/>
    <w:pPr>
      <w:contextualSpacing/>
    </w:pPr>
    <w:rPr>
      <w:sz w:val="52"/>
      <w:szCs w:val="5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apalera">
    <w:name w:val="header"/>
    <w:basedOn w:val="Normal"/>
    <w:link w:val="CapaleraCar"/>
    <w:uiPriority w:val="99"/>
    <w:unhideWhenUsed/>
    <w:rsid w:val="00CD7368"/>
    <w:pPr>
      <w:tabs>
        <w:tab w:val="center" w:pos="4252"/>
        <w:tab w:val="right" w:pos="8504"/>
      </w:tabs>
      <w:spacing w:line="240" w:lineRule="auto"/>
    </w:pPr>
  </w:style>
  <w:style w:type="character" w:customStyle="1" w:styleId="CapaleraCar">
    <w:name w:val="Capçalera Car"/>
    <w:basedOn w:val="Tipusdelletraperdefectedelpargraf"/>
    <w:link w:val="Capalera"/>
    <w:uiPriority w:val="99"/>
    <w:rsid w:val="00CD7368"/>
  </w:style>
  <w:style w:type="paragraph" w:styleId="Peu">
    <w:name w:val="footer"/>
    <w:basedOn w:val="Normal"/>
    <w:link w:val="PeuCar"/>
    <w:uiPriority w:val="99"/>
    <w:unhideWhenUsed/>
    <w:rsid w:val="00CD7368"/>
    <w:pPr>
      <w:tabs>
        <w:tab w:val="center" w:pos="4252"/>
        <w:tab w:val="right" w:pos="8504"/>
      </w:tabs>
      <w:spacing w:line="240" w:lineRule="auto"/>
    </w:pPr>
  </w:style>
  <w:style w:type="character" w:customStyle="1" w:styleId="PeuCar">
    <w:name w:val="Peu Car"/>
    <w:basedOn w:val="Tipusdelletraperdefectedelpargraf"/>
    <w:link w:val="Peu"/>
    <w:uiPriority w:val="99"/>
    <w:rsid w:val="00CD7368"/>
  </w:style>
  <w:style w:type="character" w:customStyle="1" w:styleId="TtolCar">
    <w:name w:val="Títol Car"/>
    <w:basedOn w:val="Tipusdelletraperdefectedelpargraf"/>
    <w:link w:val="Ttol"/>
    <w:rsid w:val="00CD7368"/>
    <w:rPr>
      <w:b/>
      <w:sz w:val="52"/>
      <w:szCs w:val="52"/>
    </w:rPr>
  </w:style>
  <w:style w:type="character" w:styleId="Enlla">
    <w:name w:val="Hyperlink"/>
    <w:basedOn w:val="Tipusdelletraperdefectedelpargraf"/>
    <w:uiPriority w:val="99"/>
    <w:unhideWhenUsed/>
    <w:rsid w:val="000C79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eaward_osrt@uoc.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award_osrt@uo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award_osrt@uo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1003</Words>
  <Characters>5723</Characters>
  <Application>Microsoft Office Word</Application>
  <DocSecurity>0</DocSecurity>
  <Lines>47</Lines>
  <Paragraphs>13</Paragraphs>
  <ScaleCrop>false</ScaleCrop>
  <HeadingPairs>
    <vt:vector size="2" baseType="variant">
      <vt:variant>
        <vt:lpstr>Títol</vt:lpstr>
      </vt:variant>
      <vt:variant>
        <vt:i4>1</vt:i4>
      </vt:variant>
    </vt:vector>
  </HeadingPairs>
  <TitlesOfParts>
    <vt:vector size="1" baseType="lpstr">
      <vt:lpstr/>
    </vt:vector>
  </TitlesOfParts>
  <Company>UOC</Company>
  <LinksUpToDate>false</LinksUpToDate>
  <CharactersWithSpaces>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Mesalles Aresté</dc:creator>
  <cp:lastModifiedBy>Eric Mesalles Aresté</cp:lastModifiedBy>
  <cp:revision>7</cp:revision>
  <dcterms:created xsi:type="dcterms:W3CDTF">2017-01-31T10:05:00Z</dcterms:created>
  <dcterms:modified xsi:type="dcterms:W3CDTF">2018-02-20T15:46:00Z</dcterms:modified>
</cp:coreProperties>
</file>